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41" w:rsidRPr="000B5541" w:rsidRDefault="000B5541" w:rsidP="000B5541">
      <w:pPr>
        <w:autoSpaceDE w:val="0"/>
        <w:autoSpaceDN w:val="0"/>
        <w:adjustRightInd w:val="0"/>
        <w:spacing w:after="0" w:line="240" w:lineRule="auto"/>
        <w:ind w:firstLine="709"/>
        <w:jc w:val="center"/>
        <w:outlineLvl w:val="2"/>
        <w:rPr>
          <w:b/>
          <w:szCs w:val="28"/>
        </w:rPr>
      </w:pPr>
      <w:r w:rsidRPr="000B5541">
        <w:rPr>
          <w:b/>
          <w:szCs w:val="28"/>
        </w:rPr>
        <w:t>6. Письменные предложения по вопросу, вынесенному на публичные слушания</w:t>
      </w:r>
    </w:p>
    <w:p w:rsidR="000B5541" w:rsidRPr="000B5541" w:rsidRDefault="000B5541" w:rsidP="000B5541">
      <w:pPr>
        <w:autoSpaceDE w:val="0"/>
        <w:autoSpaceDN w:val="0"/>
        <w:adjustRightInd w:val="0"/>
        <w:spacing w:after="0" w:line="240" w:lineRule="auto"/>
        <w:ind w:firstLine="709"/>
        <w:jc w:val="center"/>
        <w:outlineLvl w:val="2"/>
        <w:rPr>
          <w:b/>
          <w:szCs w:val="28"/>
        </w:rPr>
      </w:pP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1. Лица, участвующие в публичных слушаниях, вправе направлять в организационный</w:t>
      </w:r>
      <w:r w:rsidRPr="000B5541">
        <w:rPr>
          <w:szCs w:val="28"/>
        </w:rPr>
        <w:tab/>
        <w:t xml:space="preserve"> комитет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Российской Федерации и должно соответствовать предмету публичных слушаний.</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3. Предложения, поступившие в уполномоченный орган по вопросу, вынесенному на публичные слушания, подлежат регистрации.</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4. Предложения по вопросу, вынесенному на публичные слушания, подлежат рассмотрению уполномоченным органом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5. По истечении срока на получение уполномоченным органом предложений по вопросу, вынесенному на публичные слушания, установленного пунктом 4 настоящей статьи, уполномоченный орган формирует перечень предложений по вопросу, вынесенному на публичные слушания.</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Уполномоченный орган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6. До проведения открытого заседания уполномоченный орган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0B5541" w:rsidRPr="000B5541" w:rsidRDefault="000B5541" w:rsidP="000B5541">
      <w:pPr>
        <w:autoSpaceDE w:val="0"/>
        <w:autoSpaceDN w:val="0"/>
        <w:adjustRightInd w:val="0"/>
        <w:spacing w:after="0" w:line="240" w:lineRule="auto"/>
        <w:ind w:firstLine="709"/>
        <w:jc w:val="both"/>
        <w:rPr>
          <w:szCs w:val="28"/>
        </w:rPr>
      </w:pPr>
      <w:r w:rsidRPr="000B5541">
        <w:rPr>
          <w:szCs w:val="28"/>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уполномоченного органа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0B5541" w:rsidRDefault="000B5541" w:rsidP="000B5541">
      <w:pPr>
        <w:autoSpaceDE w:val="0"/>
        <w:autoSpaceDN w:val="0"/>
        <w:adjustRightInd w:val="0"/>
        <w:spacing w:after="0" w:line="240" w:lineRule="auto"/>
        <w:ind w:firstLine="709"/>
        <w:jc w:val="both"/>
        <w:rPr>
          <w:szCs w:val="28"/>
        </w:rPr>
      </w:pPr>
      <w:r w:rsidRPr="000B5541">
        <w:rPr>
          <w:szCs w:val="28"/>
        </w:rPr>
        <w:t>8. Уполномоченный орган информирует лиц, внесших предложения по вопросу, вынесенному на публичные слушания, о принятом решении по каждому предложению.</w:t>
      </w:r>
    </w:p>
    <w:p w:rsidR="00D9312C" w:rsidRDefault="00D9312C" w:rsidP="000B5541">
      <w:pPr>
        <w:spacing w:after="0" w:line="240" w:lineRule="auto"/>
      </w:pPr>
    </w:p>
    <w:sectPr w:rsidR="00D931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B5541"/>
    <w:rsid w:val="000B5541"/>
    <w:rsid w:val="00D93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2023-04-21T01:27:00Z</dcterms:created>
  <dcterms:modified xsi:type="dcterms:W3CDTF">2023-04-21T01:28:00Z</dcterms:modified>
</cp:coreProperties>
</file>